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19" w:rsidRPr="00251419" w:rsidRDefault="00251419" w:rsidP="00251419">
      <w:pPr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</w:pPr>
      <w:r w:rsidRPr="00251419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  <w:t>Ухвала</w:t>
      </w:r>
    </w:p>
    <w:p w:rsidR="00251419" w:rsidRPr="00251419" w:rsidRDefault="00251419" w:rsidP="00251419">
      <w:pPr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  <w:t>від</w:t>
      </w:r>
      <w:proofErr w:type="spellEnd"/>
      <w:r w:rsidRPr="00251419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  <w:t xml:space="preserve"> 05.09.2024 </w:t>
      </w:r>
      <w:proofErr w:type="gramStart"/>
      <w:r w:rsidRPr="00251419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  <w:t>по</w:t>
      </w:r>
      <w:proofErr w:type="gramEnd"/>
      <w:r w:rsidRPr="00251419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  <w:t>справі</w:t>
      </w:r>
      <w:proofErr w:type="spellEnd"/>
      <w:r w:rsidRPr="00251419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  <w:t xml:space="preserve"> 295/10888/24</w:t>
      </w:r>
    </w:p>
    <w:p w:rsidR="00251419" w:rsidRPr="00251419" w:rsidRDefault="00251419" w:rsidP="00251419">
      <w:pPr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</w:pPr>
      <w:r w:rsidRPr="00251419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  <w:t>ЖИТОМИРСЬКИЙ АПЕЛЯЦІЙНИЙ СУД</w:t>
      </w:r>
    </w:p>
    <w:p w:rsidR="00251419" w:rsidRPr="00251419" w:rsidRDefault="00251419" w:rsidP="00251419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УКРАЇНА</w:t>
      </w:r>
    </w:p>
    <w:p w:rsidR="00251419" w:rsidRPr="00251419" w:rsidRDefault="00251419" w:rsidP="0025141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Житомирський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апеляційний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суд</w:t>
      </w:r>
    </w:p>
    <w:p w:rsidR="00251419" w:rsidRPr="00251419" w:rsidRDefault="00251419" w:rsidP="0025141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Справа №295/10888/24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Головуючий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 1-й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інст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251419" w:rsidRPr="00251419" w:rsidRDefault="00251419" w:rsidP="0025141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ОСОБА_1 Номер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№11-сс/4805/481/24</w:t>
      </w:r>
    </w:p>
    <w:p w:rsidR="00251419" w:rsidRPr="00251419" w:rsidRDefault="00251419" w:rsidP="0025141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Категорія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порядку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КПК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України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Доповідач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ОСОБА_2</w:t>
      </w:r>
    </w:p>
    <w:p w:rsidR="00251419" w:rsidRPr="00251419" w:rsidRDefault="00251419" w:rsidP="00251419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УХВАЛА</w:t>
      </w:r>
    </w:p>
    <w:p w:rsidR="00251419" w:rsidRPr="00251419" w:rsidRDefault="00251419" w:rsidP="00251419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ІМЕНЕМ УКРАЇНИ</w:t>
      </w:r>
    </w:p>
    <w:p w:rsidR="00251419" w:rsidRPr="00251419" w:rsidRDefault="00251419" w:rsidP="0025141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05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вересня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2024 року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Житомирський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апеляційний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суд</w:t>
      </w:r>
    </w:p>
    <w:p w:rsidR="00251419" w:rsidRPr="00251419" w:rsidRDefault="00251419" w:rsidP="0025141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в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складі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: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головуючого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-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судді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 ОСОБА_2 ,</w:t>
      </w:r>
    </w:p>
    <w:p w:rsidR="00251419" w:rsidRPr="00251419" w:rsidRDefault="00251419" w:rsidP="0025141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судді</w:t>
      </w:r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</w:t>
      </w:r>
      <w:proofErr w:type="spellEnd"/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 ОСОБА_3 , ОСОБА_4 ,</w:t>
      </w:r>
    </w:p>
    <w:p w:rsidR="00251419" w:rsidRPr="00251419" w:rsidRDefault="00251419" w:rsidP="0025141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участю</w:t>
      </w:r>
      <w:proofErr w:type="spellEnd"/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: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секретаря ОСОБА_5 ,</w:t>
      </w:r>
    </w:p>
    <w:p w:rsidR="00251419" w:rsidRPr="00251419" w:rsidRDefault="00251419" w:rsidP="0025141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прокурора ОСОБА_6 ,</w:t>
      </w:r>
    </w:p>
    <w:p w:rsidR="00251419" w:rsidRPr="00251419" w:rsidRDefault="00251419" w:rsidP="0025141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представника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потерпілого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ОСОБА_7 ,</w:t>
      </w:r>
    </w:p>
    <w:p w:rsidR="00251419" w:rsidRPr="00251419" w:rsidRDefault="00251419" w:rsidP="0025141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потерпілого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ОСОБА_8 ,</w:t>
      </w:r>
    </w:p>
    <w:p w:rsidR="00251419" w:rsidRPr="00251419" w:rsidRDefault="00251419" w:rsidP="0025141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розглянувши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відкритому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судовому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засіданні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залі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суду в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</w:t>
      </w:r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.Ж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итомирі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судове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№295/10888/24 за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апеляційною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скаргою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ОСОБА_8 на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ухвалу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слідчого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судді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Богунського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районного суду м.Житомира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22.07.2024,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якою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відмовлено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задоволенні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скарги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адвоката ОСОБА_9 в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інтересах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ОСОБА_8 на постанову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дізнавача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СД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Житомирського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РУП ГУНП в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Житомирської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області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ОСОБА_10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28.04.2024 про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закриття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№12023065400000780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16.06.2023,</w:t>
      </w:r>
    </w:p>
    <w:p w:rsidR="00251419" w:rsidRPr="00251419" w:rsidRDefault="00251419" w:rsidP="0025141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встановив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</w:t>
      </w:r>
    </w:p>
    <w:p w:rsidR="00251419" w:rsidRPr="00251419" w:rsidRDefault="00251419" w:rsidP="0025141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В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апеляційній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скарзі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ОСОБА_8 просить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поновити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строк на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апеляційне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оскарження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ухвали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слідчого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судді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ухвалу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скасувати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постановити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нову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ухвалу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якою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скасувати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постанову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дізнавача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СД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Житомирського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РУП ГУНП в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Житомирської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області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ОСОБА_10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28.04.2024 року про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закриття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№12023065400000780 та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направити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матеріали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для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продовження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досудового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розслідування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Вважає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ухвалу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слідчого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судді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незаконною та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необґрунтованою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постановленою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без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повного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всебічного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</w:t>
      </w:r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`я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сування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всіх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обставин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справи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Зазнача</w:t>
      </w:r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є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що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слідчий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суддя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не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надав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належної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оцінки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доводам,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які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викладені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скарзі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його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представника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також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дізнавач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всупереч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його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клопотання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не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виконав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вказівок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прокурора та не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допитав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колишнього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суддю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ОСОБА_11 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членів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дисциплінарної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комісії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КДКА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Житомирської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області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не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провів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перехресний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допит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його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та ОСОБА_12 ..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Посилається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на те,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що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розгляд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справи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було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проведено без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його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участі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також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без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участі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його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представника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копію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оскаржуваної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ухвали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22.07.2024 року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він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отримав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31.07.2024 року, а тому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вважає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строк на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її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оскарження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пропущеним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поважних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причин.</w:t>
      </w:r>
    </w:p>
    <w:p w:rsidR="00251419" w:rsidRPr="00251419" w:rsidRDefault="00251419" w:rsidP="0025141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В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ухвалі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слідчого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судді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зазначено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що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адвокат ОСОБА_13 в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інтересах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ОСОБА_8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звернувся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суду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скаргою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в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якій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просив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скасувати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постанову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дізнавача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СД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Житомирського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РУП ГУНП в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Житомирської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області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ОСОБА_10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28.04.2024 року про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закриття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№12023065400000780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16.06.2023 року.</w:t>
      </w:r>
    </w:p>
    <w:p w:rsidR="00251419" w:rsidRPr="00251419" w:rsidRDefault="00251419" w:rsidP="0025141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В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обгрунтування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скарги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вказав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що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предметом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злочину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передбаченого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ч.1 ст.182 КК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України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є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поширення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конфіденційної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інформації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про особу. 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даному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випадку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ОСОБА_12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була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поширена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конфіденційна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інформація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яка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стосується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стану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здоров</w:t>
      </w:r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`я</w:t>
      </w:r>
      <w:proofErr w:type="spellEnd"/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ОСОБА_8 .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Також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ОСОБА_12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надав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КДКА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Житомирської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області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довідку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№ 267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02.04.1996 р. про стан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здоров`я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потерпілого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та 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поясненнях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на адресу КДКА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Житомирської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області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ОСОБА_12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стверджував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що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ОСОБА_8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перебуває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на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обліку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лі</w:t>
      </w:r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каря-псих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іатра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251419" w:rsidRPr="00251419" w:rsidRDefault="00251419" w:rsidP="0025141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Проведення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досудового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слідства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було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доручено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дізнавачу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СД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Житомирського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РУП ГУНП в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Житомирської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області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ОСОБА_10 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який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28.04.2024 року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виніс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постанову про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закриття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№12023065400000780 за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відсутністю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діянні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складу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правопорушення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відмовою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обвинувачення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кримінальному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формі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приватного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обвинувачення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  <w:proofErr w:type="gramEnd"/>
    </w:p>
    <w:p w:rsidR="00251419" w:rsidRPr="00251419" w:rsidRDefault="00251419" w:rsidP="0025141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Зазначену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постанову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вважає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незаконною,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оскільки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заходи до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належного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розслідування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дізнавачем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не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вживалися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його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клопотання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про допит </w:t>
      </w:r>
      <w:proofErr w:type="spellStart"/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св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ідків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не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розглядалися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він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ніколи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не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відмовлявся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обвинувачення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251419" w:rsidRPr="00251419" w:rsidRDefault="00251419" w:rsidP="0025141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Відмовляючи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задоволенні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скарги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слідчий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суддя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зазначив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що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ході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досудового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розслідування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дізнавачем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було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дано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об`єктивну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оцінку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зібраних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доказі</w:t>
      </w:r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</w:t>
      </w:r>
      <w:proofErr w:type="spellEnd"/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та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винесено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вмотивовану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постанову про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закриття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яка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відповідає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вимогам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КПК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України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251419" w:rsidRPr="00251419" w:rsidRDefault="00251419" w:rsidP="0025141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</w:t>
      </w:r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`я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сувавши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думку прокурора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щодо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поновлення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строку на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апеляційне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оскарження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ухвали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слідчого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судді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колегія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суддів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вважає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можливим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поновити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потерпілому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ОСОБА_8 строк на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апеляційне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оскарження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вказаної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ухвали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який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пропущений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поважних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причин,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оскільки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розгляд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скарги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було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проведено без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його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участі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та без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участі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його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представника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копію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оскаржуваної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ухвали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22.07.2024 року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він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отримав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31.07.2024 року, 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апеляційною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скаргою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звернувся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03.08.2024 року.</w:t>
      </w:r>
    </w:p>
    <w:p w:rsidR="00251419" w:rsidRPr="00251419" w:rsidRDefault="00251419" w:rsidP="0025141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Заслухавши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доповідача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доводи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потерпілого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ОСОБА_8 та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його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представника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- адвоката ОСОБА_7 в </w:t>
      </w:r>
      <w:proofErr w:type="spellStart"/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ідтримання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апеляційної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скарги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думку прокурора в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заперечення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апеляційної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скарги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перевіривши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доводи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апеляційної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скарги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матеріали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судового та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№12023065400000780,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колегія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суддів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вважає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що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апеляційна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скарга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підлягає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частковому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задоволенню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таких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підстав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251419" w:rsidRPr="00251419" w:rsidRDefault="00251419" w:rsidP="0025141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Відповідно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до </w:t>
      </w:r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ч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.4 ст. 284 КПК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України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про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закриття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слідчий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дізнавач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прокурор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приймає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постанову, яку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може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бути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оскаржено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 порядку,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встановленому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цим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Кодексом.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Дізнавач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приймає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постанову про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закриття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ідстав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передбачених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частиною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першою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цієї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статті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крім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випадку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передбаченого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абзацом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четвертим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або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п`ятим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цієї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статті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251419" w:rsidRPr="00251419" w:rsidRDefault="00251419" w:rsidP="0025141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ід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час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розгляду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скарги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на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рішення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органу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досудового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розслідування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про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закриття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слідчій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суддя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враховує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положення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ч.2 ст. 9 КПК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України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яка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встановлює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що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прокурор,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керівник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органу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досудового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розслідування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слідчий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інші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службові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особи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органів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державної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влади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зобов`язані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всебічно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повно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неупереджено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дослідити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обставини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виявити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як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обставини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що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викривають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так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що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виправдовують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ідозрюваного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обвинуваченого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також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обставини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що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пом`якшують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чи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обтяжують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його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покарання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надати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їм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належну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правову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оцінку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забезпечити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прийняття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законних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неупереджених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процесуальних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рішень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Враховуючи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те,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що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процесуальне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ішення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про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закриття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має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істотне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значення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для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слідчий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суддя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при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розгляді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скарги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на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відповідні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постанови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з`ясовує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питання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дотримання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вимог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щодо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всебічності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повноти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дослідження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оскільки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така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неповнота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може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призвести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до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прийняття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необґрунтованого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рішення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про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закриття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251419" w:rsidRPr="00251419" w:rsidRDefault="00251419" w:rsidP="0025141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Як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вбачається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матер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іалів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у СД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Житомирського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РУП ГУНП в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Житомирської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області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перебувало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кримінальне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№ №12023065400000780,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внесене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до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Єдиного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реєстру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досудових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розслідувань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16.06.2023 року, за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ознаками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правопорушення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передбаченого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ч.1 ст.182 КК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України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за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заявою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ОСОБА_8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приводу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поширення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без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його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згоди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конфіденційної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інформації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про стан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його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здоров</w:t>
      </w:r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`я</w:t>
      </w:r>
      <w:proofErr w:type="spellEnd"/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серед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членів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КДКА (ЄО 23125, 216131).</w:t>
      </w:r>
    </w:p>
    <w:p w:rsidR="00251419" w:rsidRPr="00251419" w:rsidRDefault="00251419" w:rsidP="0025141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Відповідно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до ст.477 КПК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України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вказане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є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кримінальним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провадженням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формі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приватного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обвинувачення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251419" w:rsidRPr="00251419" w:rsidRDefault="00251419" w:rsidP="0025141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В рамках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органом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досудового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розслідування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проведено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перевірку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ід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час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якої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допитано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свідків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ОСОБА_12 , ОСОБА_14 (секретаря КДКА),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лікаря-психіатра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ОСОБА_15 , ОСОБА_16 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який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представляв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інтереси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ОСОБА_8 в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цивільній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справі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дослідження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інші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письмові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докази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 За результатами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досудового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розслідування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28.04.2024 року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дізнавачем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СД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Житомирського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РУП ГУНП в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Житомирської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області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ОСОБА_10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винесено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постанову про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закриття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№12023065400000780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16.06.2023 року, за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ознаками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правопорушення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передбаченого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ч.1 ст.182 КК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України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зв</w:t>
      </w:r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`я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зку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відсутністю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діянні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складу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правопорушення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відмовою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обвинувачення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кримінальному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формі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приватного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обвинувачення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а.п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3-7).</w:t>
      </w:r>
    </w:p>
    <w:p w:rsidR="00251419" w:rsidRPr="00251419" w:rsidRDefault="00251419" w:rsidP="0025141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Відмовляючи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задоволенні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скарги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представника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потерпілого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ОСОБА_8 - адвоката ОСОБА_13 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слідчий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суддя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зазначив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що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ході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досудового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розслідування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дізнавачем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було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дано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об`єктивну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оцінку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зібраних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доказів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винесено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вмотивовану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постанову про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закриття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оскільки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за час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досудового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розслідування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ідстав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передбачених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п.3 ч.1 ст.276 КПК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України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щодо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наявності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достатніх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доказів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про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повідомлення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особи про </w:t>
      </w:r>
      <w:proofErr w:type="spellStart"/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ідозру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не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виявлено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251419" w:rsidRPr="00251419" w:rsidRDefault="00251419" w:rsidP="0025141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Проте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колегія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суддів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вважа</w:t>
      </w:r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є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що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слідчий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суддя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дійшов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помилкового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висновку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про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законність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вмотивованість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постанови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дізнавача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про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закриття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оскільки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не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врахував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що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підставою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для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закриття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вказаного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№12023065400000780,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дізнавач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зазначив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п.2 та п.7 ч.1 ст.284 КПК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України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тобто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зв`язку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відсутністю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діянні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складу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правопорушення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відмовою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потерпілого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обвинувачення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кримінальному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формі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приватного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обвинувачення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що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є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взаємовиключними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ідставами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251419" w:rsidRPr="00251419" w:rsidRDefault="00251419" w:rsidP="0025141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При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цьому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поза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увагою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слідчого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судді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залишилося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те,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що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матеріалах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відсутня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заява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ОСОБА_8 про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відмову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потерпілого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обвинувачення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Більш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того, </w:t>
      </w:r>
      <w:proofErr w:type="spellStart"/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ід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час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апеляційного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розгляду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потерпілий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ОСОБА_8 та прокурор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підтвердила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що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така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заява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потерпілим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не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подавалася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251419" w:rsidRPr="00251419" w:rsidRDefault="00251419" w:rsidP="0025141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Наведене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св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ідчить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про те,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що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дізнавач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постановляючи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28.04.2024 постанову про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закриття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№12023065400000780, не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дотримався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вимог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процесуального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закону та допустив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істотні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суперечності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щодо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підстав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закриття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251419" w:rsidRPr="00251419" w:rsidRDefault="00251419" w:rsidP="0025141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За </w:t>
      </w:r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таких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обставин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колегія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суддів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вважає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слушними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доводи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апелянта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вказаній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частині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251419" w:rsidRPr="00251419" w:rsidRDefault="00251419" w:rsidP="0025141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Вс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інші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доводи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апеляційної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скарги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потерпілого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згідно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матеріалів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були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розглянуті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дізнавачем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відповідно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до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вимог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ст.220 КПК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України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приймалися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відповідні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рішення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формі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постанов.</w:t>
      </w:r>
    </w:p>
    <w:p w:rsidR="00251419" w:rsidRPr="00251419" w:rsidRDefault="00251419" w:rsidP="0025141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Враховуючи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наведене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колегія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суддів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вважа</w:t>
      </w:r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є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що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ухвала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слідчого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судді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яка не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відповідає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вимогам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процесуального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закону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підлягає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скасуванню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постановленням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нової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ухвали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про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часткове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задоволення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апеляційної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скарги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потерпілого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251419" w:rsidRPr="00251419" w:rsidRDefault="00251419" w:rsidP="0025141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Керуючись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ст.ст. 404, 407, 422 КПК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України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апеляційний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суд,-</w:t>
      </w:r>
    </w:p>
    <w:p w:rsidR="00251419" w:rsidRPr="00251419" w:rsidRDefault="00251419" w:rsidP="0025141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постановив:</w:t>
      </w:r>
    </w:p>
    <w:p w:rsidR="00251419" w:rsidRPr="00251419" w:rsidRDefault="00251419" w:rsidP="0025141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Апеляційну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скаргу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ОСОБА_8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задовольнити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частково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251419" w:rsidRPr="00251419" w:rsidRDefault="00251419" w:rsidP="0025141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Ухвалу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слідчого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судді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Богунського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районного суду м</w:t>
      </w:r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.Ж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итомира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22.07.2024,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якою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відмовлено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задоволенні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скарги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адвоката ОСОБА_9 в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інтересах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ОСОБА_8 на постанову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дізнавача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СД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Житомирського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РУП ГУНП в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Житомирської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області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ОСОБА_10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28.04.2024 про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закриття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№12023065400000780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16.06.2023 -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скасувати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251419" w:rsidRPr="00251419" w:rsidRDefault="00251419" w:rsidP="0025141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Постановити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нову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ухвалу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якою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скаргу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адвоката ОСОБА_9 в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інтересах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ОСОБА_8 </w:t>
      </w:r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постанову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дізнавача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СД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Житомирського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РУП ГУНП в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Житомирської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області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ОСОБА_10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28.04.2024 про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закриття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№12023065400000780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16.06.2023 -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задовольнити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частково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251419" w:rsidRPr="00251419" w:rsidRDefault="00251419" w:rsidP="0025141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Постанову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дізнавача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СД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Житомирського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РУП ГУНП в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Житомирської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області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ОСОБА_10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28.04.2024 про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закриття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№12023065400000780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16.06.2023 -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скасувати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направити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матер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іали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провадження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для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подальшого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досудового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розслідування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251419" w:rsidRPr="00251419" w:rsidRDefault="00251419" w:rsidP="0025141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Ухвала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оскарженню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ідлягає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251419" w:rsidRPr="00251419" w:rsidRDefault="00251419" w:rsidP="0025141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Судді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</w:t>
      </w:r>
    </w:p>
    <w:tbl>
      <w:tblPr>
        <w:tblW w:w="168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3"/>
        <w:gridCol w:w="14727"/>
      </w:tblGrid>
      <w:tr w:rsidR="00251419" w:rsidRPr="00251419" w:rsidTr="0025141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1419" w:rsidRPr="00251419" w:rsidRDefault="00251419" w:rsidP="0025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1419" w:rsidRPr="00251419" w:rsidRDefault="00251419" w:rsidP="0025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proofErr w:type="spellStart"/>
              <w:r w:rsidRPr="00251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Житомирський</w:t>
              </w:r>
              <w:proofErr w:type="spellEnd"/>
              <w:r w:rsidRPr="00251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251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апеляційний</w:t>
              </w:r>
              <w:proofErr w:type="spellEnd"/>
              <w:r w:rsidRPr="00251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суд</w:t>
              </w:r>
            </w:hyperlink>
          </w:p>
        </w:tc>
      </w:tr>
      <w:tr w:rsidR="00251419" w:rsidRPr="00251419" w:rsidTr="0025141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1419" w:rsidRPr="00251419" w:rsidRDefault="00251419" w:rsidP="0025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ухвалення</w:t>
            </w:r>
            <w:proofErr w:type="spellEnd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ішення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1419" w:rsidRPr="00251419" w:rsidRDefault="00251419" w:rsidP="0025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05.09.2024</w:t>
            </w:r>
          </w:p>
        </w:tc>
      </w:tr>
      <w:tr w:rsidR="00251419" w:rsidRPr="00251419" w:rsidTr="0025141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1419" w:rsidRPr="00251419" w:rsidRDefault="00251419" w:rsidP="0025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Оприлюднено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1419" w:rsidRPr="00251419" w:rsidRDefault="00251419" w:rsidP="0025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12.09.2024</w:t>
            </w:r>
          </w:p>
        </w:tc>
      </w:tr>
      <w:tr w:rsidR="00251419" w:rsidRPr="00251419" w:rsidTr="0025141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1419" w:rsidRPr="00251419" w:rsidRDefault="00251419" w:rsidP="0025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1419" w:rsidRPr="00251419" w:rsidRDefault="00251419" w:rsidP="0025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121505482</w:t>
            </w:r>
          </w:p>
        </w:tc>
      </w:tr>
      <w:tr w:rsidR="00251419" w:rsidRPr="00251419" w:rsidTr="0025141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1419" w:rsidRPr="00251419" w:rsidRDefault="00251419" w:rsidP="0025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1419" w:rsidRPr="00251419" w:rsidRDefault="00251419" w:rsidP="0025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Кримінальне</w:t>
            </w:r>
            <w:proofErr w:type="spellEnd"/>
          </w:p>
        </w:tc>
      </w:tr>
      <w:tr w:rsidR="00251419" w:rsidRPr="00251419" w:rsidTr="0025141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1419" w:rsidRPr="00251419" w:rsidRDefault="00251419" w:rsidP="0025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Категорія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1419" w:rsidRPr="00251419" w:rsidRDefault="00251419" w:rsidP="0025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Провадження</w:t>
            </w:r>
            <w:proofErr w:type="spellEnd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скаргами</w:t>
            </w:r>
            <w:proofErr w:type="spellEnd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ішення</w:t>
            </w:r>
            <w:proofErr w:type="spellEnd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правоохоронних</w:t>
            </w:r>
            <w:proofErr w:type="spellEnd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бездіяльність</w:t>
            </w:r>
            <w:proofErr w:type="spellEnd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слідчого</w:t>
            </w:r>
            <w:proofErr w:type="spellEnd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прокурора та </w:t>
            </w:r>
            <w:proofErr w:type="spellStart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досудового</w:t>
            </w:r>
            <w:proofErr w:type="spellEnd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розслідування</w:t>
            </w:r>
            <w:proofErr w:type="spellEnd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слідчого</w:t>
            </w:r>
            <w:proofErr w:type="spellEnd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закриття</w:t>
            </w:r>
            <w:proofErr w:type="spellEnd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кримінального</w:t>
            </w:r>
            <w:proofErr w:type="spellEnd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провадження</w:t>
            </w:r>
            <w:proofErr w:type="spellEnd"/>
          </w:p>
        </w:tc>
      </w:tr>
    </w:tbl>
    <w:p w:rsidR="00251419" w:rsidRPr="00251419" w:rsidRDefault="00251419" w:rsidP="00251419">
      <w:pPr>
        <w:spacing w:after="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Судовий</w:t>
      </w:r>
      <w:proofErr w:type="spellEnd"/>
      <w:r w:rsidRPr="00251419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реє</w:t>
      </w:r>
      <w:proofErr w:type="gramStart"/>
      <w:r w:rsidRPr="00251419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стр</w:t>
      </w:r>
      <w:proofErr w:type="spellEnd"/>
      <w:proofErr w:type="gramEnd"/>
      <w:r w:rsidRPr="00251419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по </w:t>
      </w:r>
      <w:proofErr w:type="spellStart"/>
      <w:r w:rsidRPr="00251419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справі</w:t>
      </w:r>
      <w:proofErr w:type="spellEnd"/>
      <w:r w:rsidRPr="00251419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—</w:t>
      </w:r>
      <w:hyperlink r:id="rId5" w:history="1">
        <w:r w:rsidRPr="00251419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295/10888/24</w:t>
        </w:r>
      </w:hyperlink>
    </w:p>
    <w:p w:rsidR="00251419" w:rsidRPr="00251419" w:rsidRDefault="00251419" w:rsidP="00251419">
      <w:pPr>
        <w:shd w:val="clear" w:color="auto" w:fill="F0F2F4"/>
        <w:spacing w:beforeAutospacing="1" w:after="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Ухвала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від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05.09.2024</w:t>
      </w:r>
    </w:p>
    <w:p w:rsidR="00251419" w:rsidRPr="00251419" w:rsidRDefault="00251419" w:rsidP="00251419">
      <w:pPr>
        <w:shd w:val="clear" w:color="auto" w:fill="F0F2F4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Кримінальне</w:t>
      </w:r>
      <w:proofErr w:type="spellEnd"/>
    </w:p>
    <w:p w:rsidR="00251419" w:rsidRPr="00251419" w:rsidRDefault="00251419" w:rsidP="00251419">
      <w:pPr>
        <w:shd w:val="clear" w:color="auto" w:fill="F0F2F4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Житомирський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апеляційний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суд</w:t>
      </w:r>
    </w:p>
    <w:p w:rsidR="00251419" w:rsidRPr="00251419" w:rsidRDefault="00251419" w:rsidP="00251419">
      <w:pPr>
        <w:shd w:val="clear" w:color="auto" w:fill="F0F2F4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Кіянова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С. В.</w:t>
      </w:r>
    </w:p>
    <w:p w:rsidR="00251419" w:rsidRPr="00251419" w:rsidRDefault="00251419" w:rsidP="00251419">
      <w:pPr>
        <w:shd w:val="clear" w:color="auto" w:fill="F0F2F4"/>
        <w:spacing w:beforeAutospacing="1" w:after="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6" w:history="1">
        <w:r w:rsidRPr="00251419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 xml:space="preserve">Ухвала </w:t>
        </w:r>
        <w:proofErr w:type="spellStart"/>
        <w:r w:rsidRPr="00251419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251419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 xml:space="preserve"> 05.09.2024</w:t>
        </w:r>
      </w:hyperlink>
    </w:p>
    <w:p w:rsidR="00251419" w:rsidRPr="00251419" w:rsidRDefault="00251419" w:rsidP="00251419">
      <w:pPr>
        <w:shd w:val="clear" w:color="auto" w:fill="F0F2F4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Кримінальне</w:t>
      </w:r>
      <w:proofErr w:type="spellEnd"/>
    </w:p>
    <w:p w:rsidR="00251419" w:rsidRPr="00251419" w:rsidRDefault="00251419" w:rsidP="00251419">
      <w:pPr>
        <w:shd w:val="clear" w:color="auto" w:fill="F0F2F4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Житомирський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апеляційний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суд</w:t>
      </w:r>
    </w:p>
    <w:p w:rsidR="00251419" w:rsidRPr="00251419" w:rsidRDefault="00251419" w:rsidP="00251419">
      <w:pPr>
        <w:shd w:val="clear" w:color="auto" w:fill="F0F2F4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Кіянова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С. В.</w:t>
      </w:r>
    </w:p>
    <w:p w:rsidR="00251419" w:rsidRPr="00251419" w:rsidRDefault="00251419" w:rsidP="00251419">
      <w:pPr>
        <w:shd w:val="clear" w:color="auto" w:fill="F0F2F4"/>
        <w:spacing w:beforeAutospacing="1" w:after="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7" w:history="1">
        <w:r w:rsidRPr="00251419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 xml:space="preserve">Ухвала </w:t>
        </w:r>
        <w:proofErr w:type="spellStart"/>
        <w:r w:rsidRPr="00251419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251419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 xml:space="preserve"> 22.07.2024</w:t>
        </w:r>
      </w:hyperlink>
    </w:p>
    <w:p w:rsidR="00251419" w:rsidRPr="00251419" w:rsidRDefault="00251419" w:rsidP="00251419">
      <w:pPr>
        <w:shd w:val="clear" w:color="auto" w:fill="F0F2F4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Кримінальне</w:t>
      </w:r>
      <w:proofErr w:type="spellEnd"/>
    </w:p>
    <w:p w:rsidR="00251419" w:rsidRPr="00251419" w:rsidRDefault="00251419" w:rsidP="00251419">
      <w:pPr>
        <w:shd w:val="clear" w:color="auto" w:fill="F0F2F4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Богунський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районний</w:t>
      </w:r>
      <w:proofErr w:type="spell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суд </w:t>
      </w:r>
      <w:proofErr w:type="gram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</w:t>
      </w:r>
      <w:proofErr w:type="gramEnd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Житомира</w:t>
      </w:r>
    </w:p>
    <w:p w:rsidR="00251419" w:rsidRPr="00251419" w:rsidRDefault="00251419" w:rsidP="00251419">
      <w:pPr>
        <w:shd w:val="clear" w:color="auto" w:fill="F0F2F4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Перекупка І. Г.</w:t>
      </w:r>
    </w:p>
    <w:p w:rsidR="00251419" w:rsidRPr="00251419" w:rsidRDefault="00251419" w:rsidP="00251419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🇺🇦 </w:t>
      </w:r>
      <w:proofErr w:type="spellStart"/>
      <w:r w:rsidRPr="002514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Опендатабот</w:t>
      </w:r>
      <w:proofErr w:type="spellEnd"/>
    </w:p>
    <w:p w:rsidR="007B616B" w:rsidRDefault="007B616B"/>
    <w:sectPr w:rsidR="007B616B" w:rsidSect="007B6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251419"/>
    <w:rsid w:val="00251419"/>
    <w:rsid w:val="007B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6B"/>
  </w:style>
  <w:style w:type="paragraph" w:styleId="1">
    <w:name w:val="heading 1"/>
    <w:basedOn w:val="a"/>
    <w:link w:val="10"/>
    <w:uiPriority w:val="9"/>
    <w:qFormat/>
    <w:rsid w:val="00251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51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514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4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14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14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1419"/>
    <w:rPr>
      <w:color w:val="0000FF"/>
      <w:u w:val="single"/>
    </w:rPr>
  </w:style>
  <w:style w:type="paragraph" w:customStyle="1" w:styleId="card-text">
    <w:name w:val="card-text"/>
    <w:basedOn w:val="a"/>
    <w:rsid w:val="0025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9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7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7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4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3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17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1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3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9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6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pendatabot.ua/court/120635944-da530cd3db412d319aebe3b11a6c23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databot.ua/court/121431094-4c61978c9028239dfde798e4e577e93a" TargetMode="External"/><Relationship Id="rId5" Type="http://schemas.openxmlformats.org/officeDocument/2006/relationships/hyperlink" Target="https://court.opendatabot.ua/cause/295%2F10888%2F24" TargetMode="External"/><Relationship Id="rId4" Type="http://schemas.openxmlformats.org/officeDocument/2006/relationships/hyperlink" Target="https://opendatabot.ua/c/4226152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1685</Words>
  <Characters>9611</Characters>
  <Application>Microsoft Office Word</Application>
  <DocSecurity>0</DocSecurity>
  <Lines>80</Lines>
  <Paragraphs>22</Paragraphs>
  <ScaleCrop>false</ScaleCrop>
  <Company/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2024-09-12T18:17:00Z</dcterms:created>
  <dcterms:modified xsi:type="dcterms:W3CDTF">2024-09-12T18:27:00Z</dcterms:modified>
</cp:coreProperties>
</file>